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509A09">
      <w:pPr>
        <w:spacing w:after="0" w:line="360" w:lineRule="auto"/>
        <w:jc w:val="center"/>
        <w:rPr>
          <w:rFonts w:ascii="Times New Roman" w:hAnsi="Times New Roman" w:eastAsia="宋体" w:cs="Times New Roman"/>
          <w:b/>
          <w:bCs/>
          <w:sz w:val="30"/>
          <w:szCs w:val="30"/>
        </w:rPr>
      </w:pPr>
      <w:r>
        <w:rPr>
          <w:rFonts w:ascii="Times New Roman" w:hAnsi="Times New Roman" w:eastAsia="宋体" w:cs="Times New Roman"/>
          <w:b/>
          <w:bCs/>
          <w:sz w:val="30"/>
          <w:szCs w:val="30"/>
        </w:rPr>
        <w:t>东诚安迪科京津中心年产10万瓶注射液项目(新建生产、销售、使用放射性药物项目)(第一阶段)竣工环境保护验收</w:t>
      </w:r>
    </w:p>
    <w:p w14:paraId="29FAC3B5">
      <w:pPr>
        <w:spacing w:after="0" w:line="360" w:lineRule="auto"/>
        <w:jc w:val="center"/>
        <w:rPr>
          <w:rFonts w:ascii="Times New Roman" w:hAnsi="Times New Roman" w:eastAsia="宋体" w:cs="Times New Roman"/>
          <w:b/>
          <w:bCs/>
          <w:sz w:val="30"/>
          <w:szCs w:val="30"/>
        </w:rPr>
      </w:pPr>
      <w:r>
        <w:rPr>
          <w:rFonts w:ascii="Times New Roman" w:hAnsi="Times New Roman" w:eastAsia="宋体" w:cs="Times New Roman"/>
          <w:b/>
          <w:bCs/>
          <w:sz w:val="30"/>
          <w:szCs w:val="30"/>
        </w:rPr>
        <w:t>-其他需要说明的事项</w:t>
      </w:r>
    </w:p>
    <w:p w14:paraId="4E8D3380">
      <w:pPr>
        <w:pStyle w:val="31"/>
        <w:numPr>
          <w:ilvl w:val="0"/>
          <w:numId w:val="1"/>
        </w:numPr>
        <w:spacing w:after="0" w:line="500" w:lineRule="exact"/>
        <w:ind w:left="442" w:hanging="442"/>
        <w:rPr>
          <w:rFonts w:hint="eastAsia" w:ascii="宋体" w:hAnsi="宋体" w:eastAsia="宋体"/>
          <w:b/>
          <w:bCs/>
          <w:sz w:val="24"/>
        </w:rPr>
      </w:pPr>
      <w:r>
        <w:rPr>
          <w:rFonts w:ascii="宋体" w:hAnsi="宋体" w:eastAsia="宋体"/>
          <w:b/>
          <w:bCs/>
          <w:sz w:val="24"/>
        </w:rPr>
        <w:t>辐射安全许可证持证情况</w:t>
      </w:r>
    </w:p>
    <w:p w14:paraId="0E6D7D04">
      <w:pPr>
        <w:spacing w:after="0" w:line="500" w:lineRule="exact"/>
        <w:ind w:firstLine="480" w:firstLineChars="200"/>
        <w:rPr>
          <w:rFonts w:ascii="Times New Roman" w:hAnsi="Times New Roman" w:eastAsia="宋体" w:cs="Times New Roman"/>
          <w:sz w:val="24"/>
        </w:rPr>
      </w:pPr>
      <w:r>
        <w:rPr>
          <w:rFonts w:ascii="Times New Roman" w:hAnsi="Times New Roman" w:eastAsia="宋体" w:cs="Times New Roman"/>
          <w:sz w:val="24"/>
        </w:rPr>
        <w:t>2025年04月30日，由生态环境部批准辐射安全许可证，编号：国环辐证[00559]，有效期至2030年04月29日。</w:t>
      </w:r>
    </w:p>
    <w:p w14:paraId="7B6F978E">
      <w:pPr>
        <w:pStyle w:val="31"/>
        <w:numPr>
          <w:ilvl w:val="0"/>
          <w:numId w:val="1"/>
        </w:numPr>
        <w:spacing w:after="0" w:line="500" w:lineRule="exact"/>
        <w:ind w:left="442" w:hanging="442"/>
        <w:rPr>
          <w:rFonts w:hint="eastAsia" w:ascii="宋体" w:hAnsi="宋体" w:eastAsia="宋体"/>
          <w:b/>
          <w:bCs/>
          <w:sz w:val="24"/>
        </w:rPr>
      </w:pPr>
      <w:r>
        <w:rPr>
          <w:rFonts w:ascii="宋体" w:hAnsi="宋体" w:eastAsia="宋体"/>
          <w:b/>
          <w:bCs/>
          <w:sz w:val="24"/>
        </w:rPr>
        <w:t>辐射安全与环境保护管理机构运行情况</w:t>
      </w:r>
    </w:p>
    <w:p w14:paraId="00A0CF65">
      <w:pPr>
        <w:spacing w:after="0" w:line="50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本单位</w:t>
      </w:r>
      <w:r>
        <w:rPr>
          <w:rFonts w:ascii="Times New Roman" w:hAnsi="Times New Roman" w:eastAsia="宋体" w:cs="Times New Roman"/>
          <w:sz w:val="24"/>
        </w:rPr>
        <w:t>已成立辐射安全与环境保护管理机构专职负责辐射安全与环境保护管理，</w:t>
      </w:r>
      <w:r>
        <w:rPr>
          <w:rFonts w:hint="eastAsia" w:ascii="Times New Roman" w:hAnsi="Times New Roman" w:eastAsia="宋体" w:cs="Times New Roman"/>
          <w:sz w:val="24"/>
        </w:rPr>
        <w:t>形成文件《天津安迪科药业有限公司关于成立辐射安全与环境保护管理小组的通知》，其明确职责，</w:t>
      </w:r>
      <w:r>
        <w:rPr>
          <w:rFonts w:ascii="Times New Roman" w:hAnsi="Times New Roman" w:eastAsia="宋体" w:cs="Times New Roman"/>
          <w:sz w:val="24"/>
        </w:rPr>
        <w:t>建立完善的辐射安全管理规章制度，制订辐射事故应急预案，可有效控制辐射风险。</w:t>
      </w:r>
    </w:p>
    <w:p w14:paraId="0C8CC2B1">
      <w:pPr>
        <w:pStyle w:val="31"/>
        <w:numPr>
          <w:ilvl w:val="0"/>
          <w:numId w:val="1"/>
        </w:numPr>
        <w:spacing w:after="0" w:line="500" w:lineRule="exact"/>
        <w:ind w:left="442" w:hanging="442"/>
        <w:rPr>
          <w:rFonts w:hint="eastAsia" w:ascii="宋体" w:hAnsi="宋体" w:eastAsia="宋体"/>
          <w:b/>
          <w:bCs/>
          <w:sz w:val="24"/>
        </w:rPr>
      </w:pPr>
      <w:r>
        <w:rPr>
          <w:rFonts w:ascii="宋体" w:hAnsi="宋体" w:eastAsia="宋体"/>
          <w:b/>
          <w:bCs/>
          <w:sz w:val="24"/>
        </w:rPr>
        <w:t>防护用品和监测仪器配备情况</w:t>
      </w:r>
    </w:p>
    <w:p w14:paraId="37D75AC4">
      <w:pPr>
        <w:spacing w:after="0" w:line="50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w:t>
      </w:r>
      <w:r>
        <w:rPr>
          <w:rFonts w:ascii="Times New Roman" w:hAnsi="Times New Roman" w:eastAsia="宋体" w:cs="Times New Roman"/>
          <w:sz w:val="24"/>
        </w:rPr>
        <w:t>单位为本项目配置：8台辐射巡检仪、表面污染检测仪1台、手足表面污染监测系统1台、个人剂量报警仪9个、固定式γ剂量率监测报警系统(主机+探头)、固定式中子剂量率监测报警系统(1台主机+1个探头)、便携式中子测量仪1台、热释光个人剂量计9个；中子个人剂量计。</w:t>
      </w:r>
    </w:p>
    <w:p w14:paraId="54EEDA22">
      <w:pPr>
        <w:pStyle w:val="31"/>
        <w:numPr>
          <w:ilvl w:val="0"/>
          <w:numId w:val="1"/>
        </w:numPr>
        <w:spacing w:after="0" w:line="500" w:lineRule="exact"/>
        <w:ind w:left="442" w:hanging="442"/>
        <w:rPr>
          <w:rFonts w:hint="eastAsia" w:ascii="宋体" w:hAnsi="宋体" w:eastAsia="宋体"/>
          <w:b/>
          <w:bCs/>
          <w:sz w:val="24"/>
        </w:rPr>
      </w:pPr>
      <w:r>
        <w:rPr>
          <w:rFonts w:ascii="宋体" w:hAnsi="宋体" w:eastAsia="宋体"/>
          <w:b/>
          <w:bCs/>
          <w:sz w:val="24"/>
        </w:rPr>
        <w:t>人员配备及辐射安全与防护培训考核情况</w:t>
      </w:r>
    </w:p>
    <w:p w14:paraId="53BC54BC">
      <w:pPr>
        <w:spacing w:after="0" w:line="50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w:t>
      </w:r>
      <w:r>
        <w:rPr>
          <w:rFonts w:ascii="Times New Roman" w:hAnsi="Times New Roman" w:eastAsia="宋体" w:cs="Times New Roman"/>
          <w:sz w:val="24"/>
        </w:rPr>
        <w:t>单位为本项目第一阶段验收配备9名辐射工作人员，全部参加核技术利用辐射安全与防护培训且考核通过，持证上岗；同时已配备1名注册核安全工程师作为辐射安全防护负责人</w:t>
      </w:r>
      <w:r>
        <w:rPr>
          <w:rFonts w:hint="eastAsia" w:ascii="Times New Roman" w:hAnsi="Times New Roman" w:eastAsia="宋体" w:cs="Times New Roman"/>
          <w:sz w:val="24"/>
        </w:rPr>
        <w:t>。</w:t>
      </w:r>
    </w:p>
    <w:p w14:paraId="707DC2F3">
      <w:pPr>
        <w:pStyle w:val="31"/>
        <w:numPr>
          <w:ilvl w:val="0"/>
          <w:numId w:val="1"/>
        </w:numPr>
        <w:spacing w:after="0" w:line="500" w:lineRule="exact"/>
        <w:ind w:left="442" w:hanging="442"/>
        <w:rPr>
          <w:rFonts w:hint="eastAsia" w:ascii="宋体" w:hAnsi="宋体" w:eastAsia="宋体"/>
          <w:b/>
          <w:bCs/>
          <w:sz w:val="24"/>
        </w:rPr>
      </w:pPr>
      <w:r>
        <w:rPr>
          <w:rFonts w:ascii="宋体" w:hAnsi="宋体" w:eastAsia="宋体"/>
          <w:b/>
          <w:bCs/>
          <w:sz w:val="24"/>
        </w:rPr>
        <w:t>放射源及射线装置台账管理情况</w:t>
      </w:r>
    </w:p>
    <w:p w14:paraId="582C4071">
      <w:pPr>
        <w:spacing w:after="0" w:line="500" w:lineRule="exact"/>
        <w:ind w:firstLine="480" w:firstLineChars="200"/>
        <w:rPr>
          <w:rFonts w:hint="eastAsia" w:ascii="宋体" w:hAnsi="宋体" w:eastAsia="宋体"/>
          <w:sz w:val="24"/>
        </w:rPr>
      </w:pPr>
      <w:r>
        <w:rPr>
          <w:rFonts w:hint="eastAsia" w:ascii="宋体" w:hAnsi="宋体" w:eastAsia="宋体"/>
          <w:sz w:val="24"/>
        </w:rPr>
        <w:t>本单位</w:t>
      </w:r>
      <w:r>
        <w:rPr>
          <w:rFonts w:ascii="宋体" w:hAnsi="宋体" w:eastAsia="宋体"/>
          <w:sz w:val="24"/>
        </w:rPr>
        <w:t>建立放射性同位素生产、使用、销售台账</w:t>
      </w:r>
      <w:r>
        <w:rPr>
          <w:rFonts w:hint="eastAsia" w:ascii="宋体" w:hAnsi="宋体" w:eastAsia="宋体"/>
          <w:sz w:val="24"/>
        </w:rPr>
        <w:t>。</w:t>
      </w:r>
    </w:p>
    <w:p w14:paraId="64771F53">
      <w:pPr>
        <w:spacing w:after="0" w:line="500" w:lineRule="exact"/>
        <w:ind w:firstLine="480" w:firstLineChars="200"/>
        <w:rPr>
          <w:rFonts w:hint="eastAsia" w:ascii="宋体" w:hAnsi="宋体" w:eastAsia="宋体"/>
          <w:sz w:val="24"/>
        </w:rPr>
      </w:pPr>
      <w:r>
        <w:rPr>
          <w:rFonts w:ascii="宋体" w:hAnsi="宋体" w:eastAsia="宋体"/>
          <w:sz w:val="24"/>
        </w:rPr>
        <w:t>在销售过程中，按辐射安全许可证规定的种类和范围从事销售活动，并按销售台账记录表格进行记录，记载非密封放射性物质的时间、名称、活度、类别、购销数量、采购商名称、采购商的《辐射安全许可证》编号、记录人、记录时间、审核人、审核日期等事项，接受生态环境部门的检查。</w:t>
      </w:r>
    </w:p>
    <w:p w14:paraId="00D8FADF">
      <w:pPr>
        <w:pStyle w:val="31"/>
        <w:numPr>
          <w:ilvl w:val="0"/>
          <w:numId w:val="1"/>
        </w:numPr>
        <w:spacing w:after="0" w:line="500" w:lineRule="exact"/>
        <w:ind w:left="442" w:hanging="442"/>
        <w:rPr>
          <w:rFonts w:hint="eastAsia" w:ascii="宋体" w:hAnsi="宋体" w:eastAsia="宋体"/>
          <w:b/>
          <w:bCs/>
          <w:sz w:val="24"/>
        </w:rPr>
      </w:pPr>
      <w:r>
        <w:rPr>
          <w:rFonts w:ascii="宋体" w:hAnsi="宋体" w:eastAsia="宋体"/>
          <w:b/>
          <w:bCs/>
          <w:sz w:val="24"/>
        </w:rPr>
        <w:t>放射性废物台账管理情况</w:t>
      </w:r>
    </w:p>
    <w:p w14:paraId="5F83696C">
      <w:pPr>
        <w:spacing w:after="0" w:line="500" w:lineRule="exact"/>
        <w:ind w:firstLine="480" w:firstLineChars="200"/>
        <w:rPr>
          <w:rFonts w:hint="eastAsia" w:ascii="宋体" w:hAnsi="宋体" w:eastAsia="宋体"/>
          <w:sz w:val="24"/>
        </w:rPr>
      </w:pPr>
      <w:r>
        <w:rPr>
          <w:rFonts w:hint="eastAsia" w:ascii="宋体" w:hAnsi="宋体" w:eastAsia="宋体"/>
          <w:sz w:val="24"/>
        </w:rPr>
        <w:t>本单位建立有</w:t>
      </w:r>
      <w:r>
        <w:rPr>
          <w:rFonts w:ascii="宋体" w:hAnsi="宋体" w:eastAsia="宋体"/>
          <w:sz w:val="24"/>
        </w:rPr>
        <w:t>《台账管理制度》</w:t>
      </w:r>
      <w:r>
        <w:rPr>
          <w:rFonts w:hint="eastAsia" w:ascii="宋体" w:hAnsi="宋体" w:eastAsia="宋体"/>
          <w:sz w:val="24"/>
        </w:rPr>
        <w:t>，其中涉及放射性废物台账，为其制定配套的管理台账记录文件，全流程记录放射性废物形成时间、贮存时间、处置时间、核素种类、废物形态等关键信息，以确保放射性废物有效贮存、衰减和后期规范处理，整个流程明确专人负责。</w:t>
      </w:r>
    </w:p>
    <w:p w14:paraId="059CF87C">
      <w:pPr>
        <w:pStyle w:val="31"/>
        <w:numPr>
          <w:ilvl w:val="0"/>
          <w:numId w:val="1"/>
        </w:numPr>
        <w:spacing w:after="0" w:line="500" w:lineRule="exact"/>
        <w:ind w:left="442" w:hanging="442"/>
        <w:rPr>
          <w:rFonts w:hint="eastAsia" w:ascii="宋体" w:hAnsi="宋体" w:eastAsia="宋体"/>
          <w:b/>
          <w:bCs/>
          <w:sz w:val="24"/>
        </w:rPr>
      </w:pPr>
      <w:r>
        <w:rPr>
          <w:rFonts w:ascii="宋体" w:hAnsi="宋体" w:eastAsia="宋体"/>
          <w:b/>
          <w:bCs/>
          <w:sz w:val="24"/>
        </w:rPr>
        <w:t>辐射安全管理制度执行情况</w:t>
      </w:r>
    </w:p>
    <w:p w14:paraId="1398B5AD">
      <w:pPr>
        <w:pStyle w:val="11"/>
        <w:ind w:firstLine="426"/>
        <w:jc w:val="both"/>
        <w:rPr>
          <w:rFonts w:ascii="Times New Roman" w:hAnsi="Times New Roman" w:cs="Times New Roman"/>
        </w:rPr>
      </w:pPr>
      <w:r>
        <w:rPr>
          <w:rFonts w:ascii="Times New Roman" w:hAnsi="Times New Roman" w:cs="Times New Roman"/>
        </w:rPr>
        <w:t>根据《放射性同位素与射线装置安全许可管理办法》规定，生产、销售和使用射线装</w:t>
      </w:r>
      <w:r>
        <w:rPr>
          <w:rFonts w:ascii="Times New Roman" w:hAnsi="Times New Roman" w:cs="Times New Roman"/>
          <w:spacing w:val="-8"/>
        </w:rPr>
        <w:t>置的单位应有健全的操作规程、岗位职责、辐射防护和安全保卫制度、设备检修维护制度、</w:t>
      </w:r>
      <w:r>
        <w:rPr>
          <w:rFonts w:ascii="Times New Roman" w:hAnsi="Times New Roman" w:cs="Times New Roman"/>
        </w:rPr>
        <w:t>人员培训计划、监测方案等。</w:t>
      </w:r>
    </w:p>
    <w:p w14:paraId="647E6895">
      <w:pPr>
        <w:pStyle w:val="11"/>
        <w:ind w:firstLine="426"/>
        <w:jc w:val="both"/>
        <w:rPr>
          <w:rFonts w:ascii="Times New Roman" w:hAnsi="Times New Roman" w:cs="Times New Roman"/>
          <w:spacing w:val="-5"/>
        </w:rPr>
      </w:pPr>
      <w:r>
        <w:rPr>
          <w:rFonts w:ascii="Times New Roman" w:hAnsi="Times New Roman" w:cs="Times New Roman"/>
          <w:spacing w:val="-5"/>
        </w:rPr>
        <w:t>目前已制定了一系列的辐射安全管理制度，</w:t>
      </w:r>
      <w:r>
        <w:rPr>
          <w:rFonts w:hint="eastAsia" w:ascii="Times New Roman" w:hAnsi="Times New Roman" w:cs="Times New Roman"/>
          <w:spacing w:val="-5"/>
        </w:rPr>
        <w:t>辐射安全管理方面制度包括：</w:t>
      </w:r>
    </w:p>
    <w:p w14:paraId="607F1BA8">
      <w:pPr>
        <w:pStyle w:val="11"/>
        <w:numPr>
          <w:ilvl w:val="0"/>
          <w:numId w:val="2"/>
        </w:numPr>
        <w:ind w:left="0" w:firstLine="460" w:firstLineChars="200"/>
        <w:jc w:val="both"/>
        <w:rPr>
          <w:rFonts w:ascii="Times New Roman" w:hAnsi="Times New Roman" w:cs="Times New Roman"/>
          <w:spacing w:val="-5"/>
        </w:rPr>
      </w:pPr>
      <w:r>
        <w:rPr>
          <w:rFonts w:hint="eastAsia" w:ascii="Times New Roman" w:hAnsi="Times New Roman" w:cs="Times New Roman"/>
          <w:spacing w:val="-5"/>
        </w:rPr>
        <w:t>岗位职责部分</w:t>
      </w:r>
    </w:p>
    <w:p w14:paraId="0754DBB8">
      <w:pPr>
        <w:pStyle w:val="11"/>
        <w:ind w:firstLine="426"/>
        <w:jc w:val="both"/>
        <w:rPr>
          <w:rFonts w:ascii="Times New Roman" w:hAnsi="Times New Roman" w:cs="Times New Roman"/>
          <w:spacing w:val="-5"/>
        </w:rPr>
      </w:pPr>
      <w:r>
        <w:rPr>
          <w:rFonts w:hint="eastAsia" w:ascii="Times New Roman" w:hAnsi="Times New Roman" w:cs="Times New Roman"/>
          <w:spacing w:val="-5"/>
        </w:rPr>
        <w:t>《放射性工作岗位一般要求》、《辐射安全与环境保护管理小组职责》、《辐射安全专职负责人职责》、</w:t>
      </w:r>
      <w:bookmarkStart w:id="0" w:name="OLE_LINK11"/>
      <w:r>
        <w:rPr>
          <w:rFonts w:hint="eastAsia" w:ascii="Times New Roman" w:hAnsi="Times New Roman" w:cs="Times New Roman"/>
          <w:spacing w:val="-5"/>
        </w:rPr>
        <w:t>《加速器操作人员岗位职责》</w:t>
      </w:r>
      <w:bookmarkEnd w:id="0"/>
      <w:r>
        <w:rPr>
          <w:rFonts w:hint="eastAsia" w:ascii="Times New Roman" w:hAnsi="Times New Roman" w:cs="Times New Roman"/>
          <w:spacing w:val="-5"/>
        </w:rPr>
        <w:t>、《药物合成分装人员岗位职责》、《质检员岗位职责》、《库管员岗位职责》、《销售人员岗位职责》</w:t>
      </w:r>
    </w:p>
    <w:p w14:paraId="5D7DD398">
      <w:pPr>
        <w:pStyle w:val="11"/>
        <w:numPr>
          <w:ilvl w:val="0"/>
          <w:numId w:val="2"/>
        </w:numPr>
        <w:ind w:left="0" w:firstLine="460" w:firstLineChars="200"/>
        <w:jc w:val="both"/>
        <w:rPr>
          <w:rFonts w:ascii="Times New Roman" w:hAnsi="Times New Roman" w:cs="Times New Roman"/>
          <w:spacing w:val="-5"/>
        </w:rPr>
      </w:pPr>
      <w:r>
        <w:rPr>
          <w:rFonts w:hint="eastAsia" w:ascii="Times New Roman" w:hAnsi="Times New Roman" w:cs="Times New Roman"/>
          <w:spacing w:val="-5"/>
        </w:rPr>
        <w:t>辐射安全管理制度</w:t>
      </w:r>
    </w:p>
    <w:p w14:paraId="3F2B5F70">
      <w:pPr>
        <w:pStyle w:val="11"/>
        <w:ind w:firstLine="426"/>
        <w:jc w:val="both"/>
        <w:rPr>
          <w:rFonts w:ascii="Times New Roman" w:hAnsi="Times New Roman" w:cs="Times New Roman"/>
          <w:spacing w:val="-5"/>
        </w:rPr>
      </w:pPr>
      <w:r>
        <w:rPr>
          <w:rFonts w:hint="eastAsia" w:ascii="Times New Roman" w:hAnsi="Times New Roman" w:cs="Times New Roman"/>
          <w:spacing w:val="-5"/>
        </w:rPr>
        <w:t>《辐射防护和安全保卫管理制度》、</w:t>
      </w:r>
      <w:r>
        <w:rPr>
          <w:rFonts w:ascii="Times New Roman" w:hAnsi="Times New Roman" w:cs="Times New Roman"/>
          <w:spacing w:val="-5"/>
        </w:rPr>
        <w:t>《</w:t>
      </w:r>
      <w:r>
        <w:rPr>
          <w:rFonts w:hint="eastAsia" w:ascii="Times New Roman" w:hAnsi="Times New Roman" w:cs="Times New Roman"/>
          <w:spacing w:val="-5"/>
        </w:rPr>
        <w:t>辐射工作场所</w:t>
      </w:r>
      <w:r>
        <w:rPr>
          <w:rFonts w:ascii="Times New Roman" w:hAnsi="Times New Roman" w:cs="Times New Roman"/>
          <w:spacing w:val="-5"/>
        </w:rPr>
        <w:t>分区管</w:t>
      </w:r>
      <w:r>
        <w:rPr>
          <w:rFonts w:hint="eastAsia" w:ascii="Times New Roman" w:hAnsi="Times New Roman" w:cs="Times New Roman"/>
          <w:spacing w:val="-5"/>
        </w:rPr>
        <w:t>理制度》、《辐射工作场所与环境监测管理制度》、《</w:t>
      </w:r>
      <w:r>
        <w:rPr>
          <w:rFonts w:ascii="Times New Roman" w:hAnsi="Times New Roman" w:cs="Times New Roman"/>
          <w:spacing w:val="-5"/>
        </w:rPr>
        <w:t>个人</w:t>
      </w:r>
      <w:r>
        <w:rPr>
          <w:rFonts w:hint="eastAsia" w:ascii="Times New Roman" w:hAnsi="Times New Roman" w:cs="Times New Roman"/>
          <w:spacing w:val="-5"/>
        </w:rPr>
        <w:t>辐射</w:t>
      </w:r>
      <w:r>
        <w:rPr>
          <w:rFonts w:ascii="Times New Roman" w:hAnsi="Times New Roman" w:cs="Times New Roman"/>
          <w:spacing w:val="-5"/>
        </w:rPr>
        <w:t>剂量</w:t>
      </w:r>
      <w:r>
        <w:rPr>
          <w:rFonts w:hint="eastAsia" w:ascii="Times New Roman" w:hAnsi="Times New Roman" w:cs="Times New Roman"/>
          <w:spacing w:val="-5"/>
        </w:rPr>
        <w:t>监测</w:t>
      </w:r>
      <w:r>
        <w:rPr>
          <w:rFonts w:ascii="Times New Roman" w:hAnsi="Times New Roman" w:cs="Times New Roman"/>
          <w:spacing w:val="-5"/>
        </w:rPr>
        <w:t>管理制度</w:t>
      </w:r>
      <w:r>
        <w:rPr>
          <w:rFonts w:hint="eastAsia" w:ascii="Times New Roman" w:hAnsi="Times New Roman" w:cs="Times New Roman"/>
          <w:spacing w:val="-5"/>
        </w:rPr>
        <w:t>》、</w:t>
      </w:r>
      <w:r>
        <w:rPr>
          <w:rFonts w:ascii="Times New Roman" w:hAnsi="Times New Roman" w:cs="Times New Roman"/>
          <w:spacing w:val="-5"/>
        </w:rPr>
        <w:t>《放射性工作人员</w:t>
      </w:r>
      <w:r>
        <w:rPr>
          <w:rFonts w:hint="eastAsia" w:ascii="Times New Roman" w:hAnsi="Times New Roman" w:cs="Times New Roman"/>
          <w:spacing w:val="-5"/>
        </w:rPr>
        <w:t>健康检查管理</w:t>
      </w:r>
      <w:r>
        <w:rPr>
          <w:rFonts w:ascii="Times New Roman" w:hAnsi="Times New Roman" w:cs="Times New Roman"/>
          <w:spacing w:val="-5"/>
        </w:rPr>
        <w:t>制度》</w:t>
      </w:r>
      <w:r>
        <w:rPr>
          <w:rFonts w:hint="eastAsia" w:ascii="Times New Roman" w:hAnsi="Times New Roman" w:cs="Times New Roman"/>
          <w:spacing w:val="-5"/>
        </w:rPr>
        <w:t>、</w:t>
      </w:r>
      <w:r>
        <w:rPr>
          <w:rFonts w:ascii="Times New Roman" w:hAnsi="Times New Roman" w:cs="Times New Roman"/>
          <w:spacing w:val="-5"/>
        </w:rPr>
        <w:t>《</w:t>
      </w:r>
      <w:r>
        <w:rPr>
          <w:rFonts w:hint="eastAsia" w:ascii="Times New Roman" w:hAnsi="Times New Roman" w:cs="Times New Roman"/>
          <w:spacing w:val="-5"/>
        </w:rPr>
        <w:t>辐射安全与防护培训管理</w:t>
      </w:r>
      <w:r>
        <w:rPr>
          <w:rFonts w:ascii="Times New Roman" w:hAnsi="Times New Roman" w:cs="Times New Roman"/>
          <w:spacing w:val="-5"/>
        </w:rPr>
        <w:t>制度》</w:t>
      </w:r>
      <w:r>
        <w:rPr>
          <w:rFonts w:hint="eastAsia" w:ascii="Times New Roman" w:hAnsi="Times New Roman" w:cs="Times New Roman"/>
          <w:spacing w:val="-5"/>
        </w:rPr>
        <w:t>、《放射性购买、销售管理制度》、《台账管理制度》、《放射性药品运输管理制度》、《放射性“三废”处理方案》、《辐射安全档案管理制度》、《辐射监测方案》</w:t>
      </w:r>
    </w:p>
    <w:p w14:paraId="7DF910C5">
      <w:pPr>
        <w:pStyle w:val="11"/>
        <w:numPr>
          <w:ilvl w:val="0"/>
          <w:numId w:val="2"/>
        </w:numPr>
        <w:ind w:left="0" w:firstLine="460" w:firstLineChars="200"/>
        <w:jc w:val="both"/>
        <w:rPr>
          <w:rFonts w:ascii="Times New Roman" w:hAnsi="Times New Roman" w:cs="Times New Roman"/>
          <w:spacing w:val="-5"/>
        </w:rPr>
      </w:pPr>
      <w:r>
        <w:rPr>
          <w:rFonts w:hint="eastAsia" w:ascii="Times New Roman" w:hAnsi="Times New Roman" w:cs="Times New Roman"/>
          <w:spacing w:val="-5"/>
        </w:rPr>
        <w:t>危险废物管理制度</w:t>
      </w:r>
    </w:p>
    <w:p w14:paraId="57054189">
      <w:pPr>
        <w:pStyle w:val="11"/>
        <w:ind w:firstLine="426"/>
        <w:jc w:val="both"/>
        <w:rPr>
          <w:rFonts w:ascii="Times New Roman" w:hAnsi="Times New Roman" w:cs="Times New Roman"/>
          <w:spacing w:val="-5"/>
        </w:rPr>
      </w:pPr>
      <w:r>
        <w:rPr>
          <w:rFonts w:hint="eastAsia" w:ascii="Times New Roman" w:hAnsi="Times New Roman" w:cs="Times New Roman"/>
          <w:spacing w:val="-5"/>
        </w:rPr>
        <w:t>《危险废物管理制度》、《危险废物意外事故应急预案》</w:t>
      </w:r>
    </w:p>
    <w:p w14:paraId="7FB01B3A">
      <w:pPr>
        <w:pStyle w:val="11"/>
        <w:numPr>
          <w:ilvl w:val="0"/>
          <w:numId w:val="2"/>
        </w:numPr>
        <w:ind w:left="0" w:firstLine="460" w:firstLineChars="200"/>
        <w:jc w:val="both"/>
        <w:rPr>
          <w:rFonts w:ascii="Times New Roman" w:hAnsi="Times New Roman" w:cs="Times New Roman"/>
          <w:spacing w:val="-5"/>
        </w:rPr>
      </w:pPr>
      <w:r>
        <w:rPr>
          <w:rFonts w:hint="eastAsia" w:ascii="Times New Roman" w:hAnsi="Times New Roman" w:cs="Times New Roman"/>
          <w:spacing w:val="-5"/>
        </w:rPr>
        <w:t>操作规程</w:t>
      </w:r>
    </w:p>
    <w:p w14:paraId="221186F2">
      <w:pPr>
        <w:pStyle w:val="11"/>
        <w:ind w:firstLine="426"/>
        <w:jc w:val="both"/>
        <w:rPr>
          <w:rFonts w:ascii="Times New Roman" w:hAnsi="Times New Roman" w:cs="Times New Roman"/>
          <w:spacing w:val="-5"/>
        </w:rPr>
      </w:pPr>
      <w:bookmarkStart w:id="1" w:name="OLE_LINK12"/>
      <w:r>
        <w:rPr>
          <w:rFonts w:hint="eastAsia" w:ascii="Times New Roman" w:hAnsi="Times New Roman" w:cs="Times New Roman"/>
          <w:spacing w:val="-5"/>
        </w:rPr>
        <w:t>《回旋加速器操作规程》</w:t>
      </w:r>
      <w:bookmarkEnd w:id="1"/>
      <w:r>
        <w:rPr>
          <w:rFonts w:hint="eastAsia" w:ascii="Times New Roman" w:hAnsi="Times New Roman" w:cs="Times New Roman"/>
          <w:spacing w:val="-5"/>
        </w:rPr>
        <w:t>、《氟[</w:t>
      </w:r>
      <w:r>
        <w:rPr>
          <w:rFonts w:hint="eastAsia" w:ascii="Times New Roman" w:hAnsi="Times New Roman" w:cs="Times New Roman"/>
          <w:spacing w:val="-5"/>
          <w:vertAlign w:val="superscript"/>
        </w:rPr>
        <w:t>18</w:t>
      </w:r>
      <w:r>
        <w:rPr>
          <w:rFonts w:hint="eastAsia" w:ascii="Times New Roman" w:hAnsi="Times New Roman" w:cs="Times New Roman"/>
          <w:spacing w:val="-5"/>
        </w:rPr>
        <w:t>F]脱氧葡</w:t>
      </w:r>
      <w:bookmarkStart w:id="2" w:name="_GoBack"/>
      <w:bookmarkEnd w:id="2"/>
      <w:r>
        <w:rPr>
          <w:rFonts w:hint="eastAsia" w:ascii="Times New Roman" w:hAnsi="Times New Roman" w:cs="Times New Roman"/>
          <w:spacing w:val="-5"/>
        </w:rPr>
        <w:t>糖注射液合成分装操作规程》、《锝[</w:t>
      </w:r>
      <w:r>
        <w:rPr>
          <w:rFonts w:hint="eastAsia" w:ascii="Times New Roman" w:hAnsi="Times New Roman" w:cs="Times New Roman"/>
          <w:spacing w:val="-5"/>
          <w:vertAlign w:val="superscript"/>
        </w:rPr>
        <w:t>99m</w:t>
      </w:r>
      <w:r>
        <w:rPr>
          <w:rFonts w:hint="eastAsia" w:ascii="Times New Roman" w:hAnsi="Times New Roman" w:cs="Times New Roman"/>
          <w:spacing w:val="-5"/>
        </w:rPr>
        <w:t>Tc]注射液淋洗分装操作规程》、《放化实验室质检操作规程》、《药品发运操作规程》、《活性炭吸附装置处置操作规程》、《放射性废水排放操作规程》、《设备检修操作规程》、《</w:t>
      </w:r>
      <w:r>
        <w:rPr>
          <w:rFonts w:hint="eastAsia" w:ascii="Times New Roman" w:hAnsi="Times New Roman" w:cs="Times New Roman"/>
          <w:spacing w:val="-5"/>
          <w:vertAlign w:val="superscript"/>
        </w:rPr>
        <w:t>89</w:t>
      </w:r>
      <w:r>
        <w:rPr>
          <w:rFonts w:hint="eastAsia" w:ascii="Times New Roman" w:hAnsi="Times New Roman" w:cs="Times New Roman"/>
          <w:spacing w:val="-5"/>
        </w:rPr>
        <w:t>Zr操作规程》、《</w:t>
      </w:r>
      <w:r>
        <w:rPr>
          <w:rFonts w:hint="eastAsia" w:ascii="Times New Roman" w:hAnsi="Times New Roman" w:cs="Times New Roman"/>
          <w:spacing w:val="-5"/>
          <w:vertAlign w:val="superscript"/>
        </w:rPr>
        <w:t>131</w:t>
      </w:r>
      <w:r>
        <w:rPr>
          <w:rFonts w:hint="eastAsia" w:ascii="Times New Roman" w:hAnsi="Times New Roman" w:cs="Times New Roman"/>
          <w:spacing w:val="-5"/>
        </w:rPr>
        <w:t>I原料液分装操作规程》、《回旋加速器机房进出操作规程》</w:t>
      </w:r>
    </w:p>
    <w:p w14:paraId="1572A398">
      <w:pPr>
        <w:pStyle w:val="11"/>
        <w:ind w:firstLine="426"/>
        <w:jc w:val="both"/>
        <w:rPr>
          <w:rFonts w:ascii="Times New Roman" w:hAnsi="Times New Roman" w:cs="Times New Roman"/>
        </w:rPr>
      </w:pPr>
      <w:r>
        <w:rPr>
          <w:rFonts w:ascii="Times New Roman" w:hAnsi="Times New Roman" w:cs="Times New Roman"/>
        </w:rPr>
        <w:t>从这一系列规章制度分析，规章制度具有比较强的操作性，在日常工作中</w:t>
      </w:r>
      <w:r>
        <w:rPr>
          <w:rFonts w:hint="eastAsia" w:ascii="Times New Roman" w:hAnsi="Times New Roman" w:cs="Times New Roman"/>
        </w:rPr>
        <w:t>严格</w:t>
      </w:r>
      <w:r>
        <w:rPr>
          <w:rFonts w:ascii="Times New Roman" w:hAnsi="Times New Roman" w:cs="Times New Roman"/>
        </w:rPr>
        <w:t>按照这些规章进行操作</w:t>
      </w:r>
      <w:r>
        <w:rPr>
          <w:rFonts w:hint="eastAsia" w:ascii="Times New Roman" w:hAnsi="Times New Roman" w:cs="Times New Roman"/>
        </w:rPr>
        <w:t>，同时对相关人员进行培训和宣贯，正常运行中采取内部监督、检查机制以确保有效落实</w:t>
      </w:r>
      <w:r>
        <w:rPr>
          <w:rFonts w:ascii="Times New Roman" w:hAnsi="Times New Roman" w:cs="Times New Roman"/>
        </w:rPr>
        <w:t>，</w:t>
      </w:r>
      <w:r>
        <w:rPr>
          <w:rFonts w:hint="eastAsia" w:ascii="Times New Roman" w:hAnsi="Times New Roman" w:cs="Times New Roman"/>
        </w:rPr>
        <w:t>基本</w:t>
      </w:r>
      <w:r>
        <w:rPr>
          <w:rFonts w:ascii="Times New Roman" w:hAnsi="Times New Roman" w:cs="Times New Roman"/>
        </w:rPr>
        <w:t>能满足现有核技术应用项目的管理需要。</w:t>
      </w:r>
    </w:p>
    <w:p w14:paraId="71695F49">
      <w:pPr>
        <w:spacing w:after="0" w:line="500" w:lineRule="exact"/>
        <w:ind w:firstLine="482" w:firstLineChars="200"/>
        <w:rPr>
          <w:rFonts w:hint="eastAsia" w:ascii="宋体" w:hAnsi="宋体" w:eastAsia="宋体"/>
          <w:b/>
          <w:bCs/>
          <w:sz w:val="24"/>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7A0CDB"/>
    <w:multiLevelType w:val="multilevel"/>
    <w:tmpl w:val="037A0CDB"/>
    <w:lvl w:ilvl="0" w:tentative="0">
      <w:start w:val="1"/>
      <w:numFmt w:val="taiwaneseCountingThousand"/>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0A6C1442"/>
    <w:multiLevelType w:val="multilevel"/>
    <w:tmpl w:val="0A6C1442"/>
    <w:lvl w:ilvl="0" w:tentative="0">
      <w:start w:val="1"/>
      <w:numFmt w:val="decimal"/>
      <w:lvlText w:val="(%1)"/>
      <w:lvlJc w:val="left"/>
      <w:pPr>
        <w:ind w:left="922" w:hanging="440"/>
      </w:pPr>
      <w:rPr>
        <w:rFonts w:hint="eastAsia"/>
      </w:r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109"/>
    <w:rsid w:val="000C1109"/>
    <w:rsid w:val="00151E0E"/>
    <w:rsid w:val="00257567"/>
    <w:rsid w:val="002A43DE"/>
    <w:rsid w:val="004017E8"/>
    <w:rsid w:val="00840C96"/>
    <w:rsid w:val="008B48E1"/>
    <w:rsid w:val="009463B7"/>
    <w:rsid w:val="00984EFE"/>
    <w:rsid w:val="00A707BC"/>
    <w:rsid w:val="00B203DE"/>
    <w:rsid w:val="00B5399E"/>
    <w:rsid w:val="00B945F2"/>
    <w:rsid w:val="00D65D9E"/>
    <w:rsid w:val="00D67AAC"/>
    <w:rsid w:val="1DE309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Body Text"/>
    <w:basedOn w:val="1"/>
    <w:link w:val="36"/>
    <w:qFormat/>
    <w:uiPriority w:val="99"/>
    <w:pPr>
      <w:autoSpaceDE w:val="0"/>
      <w:autoSpaceDN w:val="0"/>
      <w:spacing w:after="0" w:line="500" w:lineRule="exact"/>
    </w:pPr>
    <w:rPr>
      <w:rFonts w:ascii="宋体" w:hAnsi="宋体" w:eastAsia="宋体" w:cs="宋体"/>
      <w:kern w:val="0"/>
      <w:sz w:val="24"/>
      <w:lang w:val="zh-CN" w:bidi="zh-CN"/>
      <w14:ligatures w14:val="none"/>
    </w:rPr>
  </w:style>
  <w:style w:type="paragraph" w:styleId="12">
    <w:name w:val="footer"/>
    <w:basedOn w:val="1"/>
    <w:link w:val="38"/>
    <w:unhideWhenUsed/>
    <w:uiPriority w:val="99"/>
    <w:pPr>
      <w:tabs>
        <w:tab w:val="center" w:pos="4153"/>
        <w:tab w:val="right" w:pos="8306"/>
      </w:tabs>
      <w:snapToGrid w:val="0"/>
      <w:spacing w:line="240" w:lineRule="auto"/>
    </w:pPr>
    <w:rPr>
      <w:sz w:val="18"/>
      <w:szCs w:val="18"/>
    </w:rPr>
  </w:style>
  <w:style w:type="paragraph" w:styleId="13">
    <w:name w:val="header"/>
    <w:basedOn w:val="1"/>
    <w:link w:val="37"/>
    <w:unhideWhenUsed/>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2"/>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3"/>
    <w:semiHidden/>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uiPriority w:val="9"/>
    <w:rPr>
      <w:rFonts w:cstheme="majorBidi"/>
      <w:color w:val="2F5597" w:themeColor="accent1" w:themeShade="BF"/>
      <w:sz w:val="28"/>
      <w:szCs w:val="28"/>
    </w:rPr>
  </w:style>
  <w:style w:type="character" w:customStyle="1" w:styleId="22">
    <w:name w:val="标题 5 字符"/>
    <w:basedOn w:val="17"/>
    <w:link w:val="6"/>
    <w:semiHidden/>
    <w:uiPriority w:val="9"/>
    <w:rPr>
      <w:rFonts w:cstheme="majorBidi"/>
      <w:color w:val="2F5597" w:themeColor="accent1" w:themeShade="BF"/>
      <w:sz w:val="24"/>
    </w:rPr>
  </w:style>
  <w:style w:type="character" w:customStyle="1" w:styleId="23">
    <w:name w:val="标题 6 字符"/>
    <w:basedOn w:val="17"/>
    <w:link w:val="7"/>
    <w:semiHidden/>
    <w:uiPriority w:val="9"/>
    <w:rPr>
      <w:rFonts w:cstheme="majorBidi"/>
      <w:b/>
      <w:bCs/>
      <w:color w:val="2F5597" w:themeColor="accent1" w:themeShade="BF"/>
    </w:rPr>
  </w:style>
  <w:style w:type="character" w:customStyle="1" w:styleId="24">
    <w:name w:val="标题 7 字符"/>
    <w:basedOn w:val="17"/>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正文文本 字符"/>
    <w:basedOn w:val="17"/>
    <w:link w:val="11"/>
    <w:qFormat/>
    <w:uiPriority w:val="99"/>
    <w:rPr>
      <w:rFonts w:ascii="宋体" w:hAnsi="宋体" w:eastAsia="宋体" w:cs="宋体"/>
      <w:kern w:val="0"/>
      <w:sz w:val="24"/>
      <w:lang w:val="zh-CN" w:bidi="zh-CN"/>
      <w14:ligatures w14:val="none"/>
    </w:rPr>
  </w:style>
  <w:style w:type="character" w:customStyle="1" w:styleId="37">
    <w:name w:val="页眉 字符"/>
    <w:basedOn w:val="17"/>
    <w:link w:val="13"/>
    <w:uiPriority w:val="99"/>
    <w:rPr>
      <w:sz w:val="18"/>
      <w:szCs w:val="18"/>
    </w:rPr>
  </w:style>
  <w:style w:type="character" w:customStyle="1" w:styleId="38">
    <w:name w:val="页脚 字符"/>
    <w:basedOn w:val="17"/>
    <w:link w:val="12"/>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1493</Words>
  <Characters>1529</Characters>
  <Lines>82</Lines>
  <Paragraphs>119</Paragraphs>
  <TotalTime>28</TotalTime>
  <ScaleCrop>false</ScaleCrop>
  <LinksUpToDate>false</LinksUpToDate>
  <CharactersWithSpaces>1529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2026-10-10T08:17:00Z</dcterms:created>
  <dc:creator>RAD TianJin</dc:creator>
  <cp:lastModifiedBy> 陈杨</cp:lastModifiedBy>
  <dcterms:modified xsi:type="dcterms:W3CDTF">2026-10-12T02:03:56Z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eyJoZGlkIjoiYmE0MzJmYTdjMGI0YzMwYmVlZjU3NDRiMzI3ZTI0NjUiLCJ1c2VySWQiOiIyNDA1Mzg2NiJ9</vt:lpwstr>
  </property>
  <property fmtid="{D5CDD505-2E9C-101B-9397-08002B2CF9AE}" pid="3" name="KSOProductBuildVer">
    <vt:lpwstr>2052-12.1.0.28505</vt:lpwstr>
  </property>
  <property fmtid="{D5CDD505-2E9C-101B-9397-08002B2CF9AE}" pid="4" name="ICV">
    <vt:lpwstr>B8C42DBD5879497F8822255594286366_13</vt:lpwstr>
  </property>
</Properties>
</file>